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2250"/>
        <w:gridCol w:w="674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22070" w:rsidRPr="00722070" w:rsidRDefault="00722070" w:rsidP="00722070"/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DA05E1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350E1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Default="00350E1D" w:rsidP="0035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Transporting no more than 2 cylinders of: Acetylene, LPG, Argon or Oxygen in open vehicles, for use on site.</w:t>
            </w:r>
          </w:p>
          <w:p w:rsidR="00350E1D" w:rsidRPr="00350E1D" w:rsidRDefault="00350E1D" w:rsidP="00350E1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N.B. This risk assessment assumes the quantities to be transported are below the threshold lints for ADR</w:t>
            </w:r>
          </w:p>
        </w:tc>
      </w:tr>
      <w:tr w:rsidR="00BF7DC1" w:rsidRPr="002F3977" w:rsidTr="00FD0C5F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350E1D" w:rsidP="00C52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50E1D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Fire/explosion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350E1D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Drivers, employees, other contractors,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FD0C5F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E0C" w:rsidRDefault="00350E1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2kg dry powder extinguisher to be carried in vehicle.</w:t>
            </w:r>
          </w:p>
          <w:p w:rsidR="00350E1D" w:rsidRDefault="00350E1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smoking in or near vehicle.</w:t>
            </w:r>
          </w:p>
          <w:p w:rsidR="00350E1D" w:rsidRDefault="00350E1D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Cylinders only to be carried in open vehicles.</w:t>
            </w:r>
          </w:p>
          <w:p w:rsidR="00350E1D" w:rsidRPr="00FD0C5F" w:rsidRDefault="00350E1D" w:rsidP="00FD0C5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0C5F">
              <w:rPr>
                <w:sz w:val="18"/>
                <w:szCs w:val="18"/>
              </w:rPr>
              <w:t>Drivers to be trained in use of firefighting appliances and emergency procedures</w:t>
            </w:r>
            <w:r w:rsidR="00FD0C5F" w:rsidRPr="00FD0C5F">
              <w:rPr>
                <w:sz w:val="18"/>
                <w:szCs w:val="18"/>
              </w:rPr>
              <w:t xml:space="preserve"> as specified in the </w:t>
            </w:r>
            <w:r w:rsidR="00FD0C5F" w:rsidRPr="00FD0C5F">
              <w:rPr>
                <w:bCs/>
                <w:sz w:val="18"/>
                <w:szCs w:val="18"/>
                <w:lang w:eastAsia="en-GB"/>
              </w:rPr>
              <w:t>Guidance Note 27</w:t>
            </w:r>
            <w:r w:rsidR="00FD0C5F">
              <w:rPr>
                <w:bCs/>
                <w:sz w:val="18"/>
                <w:szCs w:val="18"/>
                <w:lang w:eastAsia="en-GB"/>
              </w:rPr>
              <w:t xml:space="preserve"> BCGA G</w:t>
            </w:r>
            <w:r w:rsidR="00FD0C5F" w:rsidRPr="00FD0C5F">
              <w:rPr>
                <w:bCs/>
                <w:sz w:val="18"/>
                <w:szCs w:val="18"/>
                <w:lang w:eastAsia="en-GB"/>
              </w:rPr>
              <w:t xml:space="preserve">uidance </w:t>
            </w:r>
            <w:proofErr w:type="gramStart"/>
            <w:r w:rsidR="00FD0C5F" w:rsidRPr="00FD0C5F">
              <w:rPr>
                <w:bCs/>
                <w:sz w:val="18"/>
                <w:szCs w:val="18"/>
                <w:lang w:eastAsia="en-GB"/>
              </w:rPr>
              <w:t>For</w:t>
            </w:r>
            <w:proofErr w:type="gramEnd"/>
            <w:r w:rsidR="00FD0C5F" w:rsidRPr="00FD0C5F">
              <w:rPr>
                <w:bCs/>
                <w:sz w:val="18"/>
                <w:szCs w:val="18"/>
                <w:lang w:eastAsia="en-GB"/>
              </w:rPr>
              <w:t xml:space="preserve"> The Carriage Of</w:t>
            </w:r>
            <w:r w:rsidR="00FD0C5F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="00FD0C5F" w:rsidRPr="00FD0C5F">
              <w:rPr>
                <w:bCs/>
                <w:sz w:val="18"/>
                <w:szCs w:val="18"/>
                <w:lang w:eastAsia="en-GB"/>
              </w:rPr>
              <w:t>Gas Cylinders On Vehicles</w:t>
            </w:r>
            <w:r w:rsidR="00FD0C5F" w:rsidRPr="00FD0C5F">
              <w:rPr>
                <w:sz w:val="18"/>
                <w:szCs w:val="18"/>
              </w:rPr>
              <w:t>.</w:t>
            </w:r>
          </w:p>
          <w:p w:rsidR="00570762" w:rsidRPr="00DA05E1" w:rsidRDefault="00570762" w:rsidP="005707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762">
              <w:rPr>
                <w:sz w:val="18"/>
                <w:szCs w:val="18"/>
                <w:lang w:eastAsia="en-GB"/>
              </w:rPr>
              <w:t>Keep cylinders cool (at ambient temperatures). Do not stow gas cylinders in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570762">
              <w:rPr>
                <w:sz w:val="18"/>
                <w:szCs w:val="18"/>
                <w:lang w:eastAsia="en-GB"/>
              </w:rPr>
              <w:t>areas where they will be affected by sources of excessive heat.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FD0C5F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50E1D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1D" w:rsidRPr="002F3977" w:rsidRDefault="00350E1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350E1D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Leaks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350E1D" w:rsidP="0089458C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Drivers, employees, other contractors,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350E1D" w:rsidRPr="005D3239" w:rsidRDefault="00FD0C5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</w:t>
            </w: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99F" w:rsidRPr="0037399F" w:rsidRDefault="0037399F" w:rsidP="003739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399F">
              <w:rPr>
                <w:bCs/>
                <w:sz w:val="18"/>
                <w:szCs w:val="18"/>
                <w:lang w:eastAsia="en-GB"/>
              </w:rPr>
              <w:t>Cylinder valves</w:t>
            </w:r>
            <w:r w:rsidRPr="0037399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37399F">
              <w:rPr>
                <w:sz w:val="18"/>
                <w:szCs w:val="18"/>
                <w:lang w:eastAsia="en-GB"/>
              </w:rPr>
              <w:t>are to be closed whilst in transit. A check should be made to ensure there are</w:t>
            </w:r>
            <w:r>
              <w:rPr>
                <w:sz w:val="18"/>
                <w:szCs w:val="18"/>
                <w:lang w:eastAsia="en-GB"/>
              </w:rPr>
              <w:t xml:space="preserve"> no leaks.</w:t>
            </w:r>
          </w:p>
          <w:p w:rsidR="0037399F" w:rsidRPr="0037399F" w:rsidRDefault="0037399F" w:rsidP="003739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399F">
              <w:rPr>
                <w:sz w:val="18"/>
                <w:szCs w:val="18"/>
                <w:lang w:eastAsia="en-GB"/>
              </w:rPr>
              <w:t>Where supplied, fit suitable protective valve caps and covers to cylinders before</w:t>
            </w:r>
            <w:r>
              <w:rPr>
                <w:sz w:val="18"/>
                <w:szCs w:val="18"/>
                <w:lang w:eastAsia="en-GB"/>
              </w:rPr>
              <w:t xml:space="preserve"> transporting.</w:t>
            </w:r>
          </w:p>
          <w:p w:rsidR="00350E1D" w:rsidRPr="00570762" w:rsidRDefault="0037399F" w:rsidP="003739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7399F">
              <w:rPr>
                <w:sz w:val="18"/>
                <w:szCs w:val="18"/>
                <w:lang w:eastAsia="en-GB"/>
              </w:rPr>
              <w:t>Cylinders should not be transported with equipment attached to the valve outlet;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37399F">
              <w:rPr>
                <w:sz w:val="18"/>
                <w:szCs w:val="18"/>
                <w:lang w:eastAsia="en-GB"/>
              </w:rPr>
              <w:t>disconnect regulators, hoses etc.</w:t>
            </w:r>
          </w:p>
          <w:p w:rsidR="00FD0C5F" w:rsidRPr="00FD0C5F" w:rsidRDefault="00570762" w:rsidP="00FD0C5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0762">
              <w:rPr>
                <w:bCs/>
                <w:sz w:val="18"/>
                <w:szCs w:val="18"/>
                <w:lang w:eastAsia="en-GB"/>
              </w:rPr>
              <w:t>Inspection and test</w:t>
            </w:r>
            <w:r w:rsidRPr="00570762">
              <w:rPr>
                <w:sz w:val="18"/>
                <w:szCs w:val="18"/>
                <w:lang w:eastAsia="en-GB"/>
              </w:rPr>
              <w:t>. Gas cylinders are only allowed to be transported if they are in-date for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570762">
              <w:rPr>
                <w:sz w:val="18"/>
                <w:szCs w:val="18"/>
                <w:lang w:eastAsia="en-GB"/>
              </w:rPr>
              <w:t>their periodic inspection and test</w:t>
            </w:r>
            <w:r>
              <w:rPr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50E1D" w:rsidRPr="002F3977" w:rsidRDefault="00350E1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50E1D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1D" w:rsidRPr="002F3977" w:rsidRDefault="00350E1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37399F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Damage to cylinders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350E1D" w:rsidP="0089458C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Drivers, employees, other contractors,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350E1D" w:rsidRPr="005D3239" w:rsidRDefault="00FD0C5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99F" w:rsidRDefault="0037399F" w:rsidP="003739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570762">
              <w:rPr>
                <w:bCs/>
                <w:sz w:val="18"/>
                <w:szCs w:val="18"/>
                <w:lang w:eastAsia="en-GB"/>
              </w:rPr>
              <w:t>Cylinders are to be secured</w:t>
            </w:r>
            <w:r w:rsidRPr="0037399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37399F">
              <w:rPr>
                <w:sz w:val="18"/>
                <w:szCs w:val="18"/>
                <w:lang w:eastAsia="en-GB"/>
              </w:rPr>
              <w:t>so that they cannot move during transport. They shall not project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37399F">
              <w:rPr>
                <w:sz w:val="18"/>
                <w:szCs w:val="18"/>
                <w:lang w:eastAsia="en-GB"/>
              </w:rPr>
              <w:t>beyond th</w:t>
            </w:r>
            <w:r>
              <w:rPr>
                <w:sz w:val="18"/>
                <w:szCs w:val="18"/>
                <w:lang w:eastAsia="en-GB"/>
              </w:rPr>
              <w:t>e sides or ends of the vehicle.</w:t>
            </w:r>
          </w:p>
          <w:p w:rsidR="00350E1D" w:rsidRDefault="0037399F" w:rsidP="003739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399F">
              <w:rPr>
                <w:sz w:val="18"/>
                <w:szCs w:val="18"/>
                <w:lang w:eastAsia="en-GB"/>
              </w:rPr>
              <w:lastRenderedPageBreak/>
              <w:t>It is recommended that cylinders are transported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37399F">
              <w:rPr>
                <w:sz w:val="18"/>
                <w:szCs w:val="18"/>
                <w:lang w:eastAsia="en-GB"/>
              </w:rPr>
              <w:t>vertically, secured in an appropriate pallet.</w:t>
            </w:r>
          </w:p>
          <w:p w:rsidR="00FD0C5F" w:rsidRPr="0037399F" w:rsidRDefault="00FD0C5F" w:rsidP="003739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Other tools and equipment to be stored well away from cylinders.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50E1D" w:rsidRPr="002F3977" w:rsidRDefault="00350E1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</w:t>
            </w:r>
          </w:p>
        </w:tc>
      </w:tr>
      <w:tr w:rsidR="00350E1D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1D" w:rsidRPr="002F3977" w:rsidRDefault="00350E1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570762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Handling of cylinders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350E1D" w:rsidP="0089458C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Drivers, employees, other contractors,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350E1D" w:rsidRPr="005D3239" w:rsidRDefault="00FD0C5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1D" w:rsidRDefault="00570762" w:rsidP="000C5BA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Drivers and operatives to be trained in the manual handling of cylinders.</w:t>
            </w:r>
          </w:p>
          <w:p w:rsidR="00570762" w:rsidRPr="00722070" w:rsidRDefault="00570762" w:rsidP="000C5BA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possible, mechanical offloading should be used.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50E1D" w:rsidRPr="002F3977" w:rsidRDefault="00350E1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50E1D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1D" w:rsidRPr="002F3977" w:rsidRDefault="00350E1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FD0C5F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Labelling/signage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50E1D" w:rsidRPr="002F3977" w:rsidRDefault="00350E1D" w:rsidP="0089458C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Drivers, employees, other contractors, public.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350E1D" w:rsidRPr="005D3239" w:rsidRDefault="00FD0C5F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</w:t>
            </w: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E1D" w:rsidRPr="00A9009F" w:rsidRDefault="00FD0C5F" w:rsidP="00FD0C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0C5F">
              <w:rPr>
                <w:bCs/>
                <w:sz w:val="18"/>
                <w:szCs w:val="18"/>
                <w:lang w:eastAsia="en-GB"/>
              </w:rPr>
              <w:t xml:space="preserve">Product identification labels </w:t>
            </w:r>
            <w:r w:rsidRPr="00FD0C5F">
              <w:rPr>
                <w:sz w:val="18"/>
                <w:szCs w:val="18"/>
                <w:lang w:eastAsia="en-GB"/>
              </w:rPr>
              <w:t>are attached to all cylinders. These identify the contents and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FD0C5F">
              <w:rPr>
                <w:sz w:val="18"/>
                <w:szCs w:val="18"/>
                <w:lang w:eastAsia="en-GB"/>
              </w:rPr>
              <w:t xml:space="preserve">provide safety advice. The labels are produced in accordance with current legislation, </w:t>
            </w:r>
            <w:r w:rsidRPr="00A9009F">
              <w:rPr>
                <w:sz w:val="18"/>
                <w:szCs w:val="18"/>
                <w:lang w:eastAsia="en-GB"/>
              </w:rPr>
              <w:t>and you must never remove or deface these labels.</w:t>
            </w:r>
          </w:p>
          <w:p w:rsidR="00A9009F" w:rsidRPr="00FD0C5F" w:rsidRDefault="00A9009F" w:rsidP="00A9009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009F">
              <w:rPr>
                <w:bCs/>
                <w:sz w:val="18"/>
                <w:szCs w:val="18"/>
                <w:lang w:eastAsia="en-GB"/>
              </w:rPr>
              <w:t xml:space="preserve">Vehicle hazard labels. </w:t>
            </w:r>
            <w:r w:rsidRPr="00A9009F">
              <w:rPr>
                <w:sz w:val="18"/>
                <w:szCs w:val="18"/>
                <w:lang w:eastAsia="en-GB"/>
              </w:rPr>
              <w:t>If carrying dangerous goods below the threshold level it is not necessary to mark and label your vehicle, but the use of hazard labels can assist the emergency services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A9009F">
              <w:rPr>
                <w:sz w:val="18"/>
                <w:szCs w:val="18"/>
                <w:lang w:eastAsia="en-GB"/>
              </w:rPr>
              <w:t xml:space="preserve">and they may be displayed. However, all hazard labels </w:t>
            </w:r>
            <w:proofErr w:type="gramStart"/>
            <w:r w:rsidRPr="00A9009F">
              <w:rPr>
                <w:sz w:val="18"/>
                <w:szCs w:val="18"/>
                <w:lang w:eastAsia="en-GB"/>
              </w:rPr>
              <w:t>have to</w:t>
            </w:r>
            <w:proofErr w:type="gramEnd"/>
            <w:r w:rsidRPr="00A9009F">
              <w:rPr>
                <w:sz w:val="18"/>
                <w:szCs w:val="18"/>
                <w:lang w:eastAsia="en-GB"/>
              </w:rPr>
              <w:t xml:space="preserve"> be removed if you are not carrying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A9009F">
              <w:rPr>
                <w:sz w:val="18"/>
                <w:szCs w:val="18"/>
                <w:lang w:eastAsia="en-GB"/>
              </w:rPr>
              <w:t>dangerous goods.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50E1D" w:rsidRPr="002F3977" w:rsidRDefault="00350E1D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D0337" w:rsidRPr="002F3977" w:rsidTr="00FD0C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FD0C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DA05E1" w:rsidRDefault="001660E3">
      <w:pPr>
        <w:ind w:right="-177"/>
        <w:outlineLvl w:val="0"/>
        <w:rPr>
          <w:b/>
        </w:rPr>
      </w:pPr>
      <w:r w:rsidRPr="00DA05E1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;mso-position-horizontal-relative:text;mso-position-vertical-relative:text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DA05E1">
        <w:rPr>
          <w:b/>
        </w:rPr>
        <w:t>Likelihood</w:t>
      </w:r>
    </w:p>
    <w:p w:rsidR="001660E3" w:rsidRPr="00DA05E1" w:rsidRDefault="001660E3" w:rsidP="00DA05E1">
      <w:pPr>
        <w:ind w:right="-177"/>
      </w:pPr>
      <w:r w:rsidRPr="00DA05E1">
        <w:t>How often could the hazard occur? Consider the task, frequency, duration, method of work, emplo</w:t>
      </w:r>
      <w:r w:rsidRPr="00DA05E1">
        <w:t>y</w:t>
      </w:r>
      <w:r w:rsidRPr="00DA05E1">
        <w:t>ees involved.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  <w:rPr>
          <w:b/>
        </w:rPr>
      </w:pPr>
      <w:r w:rsidRPr="00DA05E1">
        <w:rPr>
          <w:b/>
        </w:rPr>
        <w:t>Severity</w:t>
      </w:r>
    </w:p>
    <w:p w:rsidR="001660E3" w:rsidRPr="00DA05E1" w:rsidRDefault="001660E3">
      <w:pPr>
        <w:ind w:right="-177"/>
        <w:outlineLvl w:val="0"/>
      </w:pPr>
      <w:r w:rsidRPr="00DA05E1">
        <w:t xml:space="preserve">How serious would the hazard’s effects be if </w:t>
      </w:r>
    </w:p>
    <w:p w:rsidR="001660E3" w:rsidRPr="00DA05E1" w:rsidRDefault="001660E3">
      <w:pPr>
        <w:ind w:right="-177"/>
      </w:pPr>
      <w:r w:rsidRPr="00DA05E1">
        <w:t>realised? Consider the type of hazard, biological, erg</w:t>
      </w:r>
      <w:r w:rsidRPr="00DA05E1">
        <w:t>o</w:t>
      </w:r>
      <w:r w:rsidRPr="00DA05E1">
        <w:t>nomic, physical and chemical.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</w:pPr>
      <w:r w:rsidRPr="00DA05E1">
        <w:rPr>
          <w:b/>
        </w:rPr>
        <w:t xml:space="preserve">Risk = </w:t>
      </w:r>
      <w:r w:rsidRPr="00DA05E1">
        <w:t xml:space="preserve">Likelihood x Severity </w:t>
      </w:r>
    </w:p>
    <w:p w:rsidR="001660E3" w:rsidRPr="00DA05E1" w:rsidRDefault="001660E3">
      <w:pPr>
        <w:ind w:right="-177"/>
      </w:pPr>
    </w:p>
    <w:p w:rsidR="001660E3" w:rsidRPr="00DA05E1" w:rsidRDefault="001660E3">
      <w:r w:rsidRPr="00DA05E1">
        <w:t xml:space="preserve">E.g. Likelihood (4) X Severity (3) = 12 </w:t>
      </w:r>
      <w:r w:rsidRPr="00DA05E1">
        <w:rPr>
          <w:b/>
        </w:rPr>
        <w:t>HIGH RISK</w:t>
      </w:r>
    </w:p>
    <w:sectPr w:rsidR="001660E3" w:rsidRPr="00DA05E1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8C" w:rsidRDefault="0089458C">
      <w:r>
        <w:separator/>
      </w:r>
    </w:p>
  </w:endnote>
  <w:endnote w:type="continuationSeparator" w:id="0">
    <w:p w:rsidR="0089458C" w:rsidRDefault="0089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263F11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263F11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263F11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263F11" w:rsidRDefault="00263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8C" w:rsidRDefault="0089458C">
      <w:r>
        <w:separator/>
      </w:r>
    </w:p>
  </w:footnote>
  <w:footnote w:type="continuationSeparator" w:id="0">
    <w:p w:rsidR="0089458C" w:rsidRDefault="0089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1" w:rsidRDefault="00263F11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  <w:t>Risk Assessment</w:t>
    </w:r>
    <w:r w:rsidR="00350E1D">
      <w:rPr>
        <w:rFonts w:ascii="Arial Narrow" w:hAnsi="Arial Narrow"/>
        <w:b/>
        <w:bCs/>
        <w:color w:val="000000"/>
        <w:sz w:val="36"/>
      </w:rPr>
      <w:t xml:space="preserve"> Transportation of Compressed Gas Cylinders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2D8"/>
    <w:multiLevelType w:val="hybridMultilevel"/>
    <w:tmpl w:val="5AA4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722"/>
    <w:multiLevelType w:val="hybridMultilevel"/>
    <w:tmpl w:val="67BC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258E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14F43"/>
    <w:multiLevelType w:val="hybridMultilevel"/>
    <w:tmpl w:val="E91A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29C2"/>
    <w:multiLevelType w:val="hybridMultilevel"/>
    <w:tmpl w:val="98AC8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0766"/>
    <w:multiLevelType w:val="hybridMultilevel"/>
    <w:tmpl w:val="E6C0F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E2163"/>
    <w:multiLevelType w:val="hybridMultilevel"/>
    <w:tmpl w:val="2A02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314"/>
    <w:multiLevelType w:val="hybridMultilevel"/>
    <w:tmpl w:val="694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6BCB"/>
    <w:multiLevelType w:val="hybridMultilevel"/>
    <w:tmpl w:val="BC2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223D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82E93"/>
    <w:multiLevelType w:val="hybridMultilevel"/>
    <w:tmpl w:val="896E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114E0"/>
    <w:multiLevelType w:val="hybridMultilevel"/>
    <w:tmpl w:val="E25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39BC"/>
    <w:multiLevelType w:val="hybridMultilevel"/>
    <w:tmpl w:val="138AF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545B"/>
    <w:multiLevelType w:val="hybridMultilevel"/>
    <w:tmpl w:val="F0BA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10FCC"/>
    <w:multiLevelType w:val="hybridMultilevel"/>
    <w:tmpl w:val="5DEA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24C34"/>
    <w:multiLevelType w:val="hybridMultilevel"/>
    <w:tmpl w:val="62A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1694"/>
    <w:multiLevelType w:val="hybridMultilevel"/>
    <w:tmpl w:val="0A4A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85D38"/>
    <w:multiLevelType w:val="hybridMultilevel"/>
    <w:tmpl w:val="0FB27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54B6A"/>
    <w:multiLevelType w:val="hybridMultilevel"/>
    <w:tmpl w:val="80AE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17FFE"/>
    <w:multiLevelType w:val="hybridMultilevel"/>
    <w:tmpl w:val="FA54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137FE"/>
    <w:multiLevelType w:val="hybridMultilevel"/>
    <w:tmpl w:val="9D02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B5760"/>
    <w:multiLevelType w:val="hybridMultilevel"/>
    <w:tmpl w:val="F7B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1"/>
  </w:num>
  <w:num w:numId="5">
    <w:abstractNumId w:val="7"/>
  </w:num>
  <w:num w:numId="6">
    <w:abstractNumId w:val="4"/>
  </w:num>
  <w:num w:numId="7">
    <w:abstractNumId w:val="3"/>
  </w:num>
  <w:num w:numId="8">
    <w:abstractNumId w:val="20"/>
  </w:num>
  <w:num w:numId="9">
    <w:abstractNumId w:val="8"/>
  </w:num>
  <w:num w:numId="10">
    <w:abstractNumId w:val="1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 w:numId="17">
    <w:abstractNumId w:val="5"/>
  </w:num>
  <w:num w:numId="18">
    <w:abstractNumId w:val="2"/>
  </w:num>
  <w:num w:numId="19">
    <w:abstractNumId w:val="17"/>
  </w:num>
  <w:num w:numId="20">
    <w:abstractNumId w:val="19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01F4B"/>
    <w:rsid w:val="00014471"/>
    <w:rsid w:val="000155B9"/>
    <w:rsid w:val="00054002"/>
    <w:rsid w:val="00067910"/>
    <w:rsid w:val="0007748E"/>
    <w:rsid w:val="000824EA"/>
    <w:rsid w:val="000C5BA7"/>
    <w:rsid w:val="000F2144"/>
    <w:rsid w:val="001144E1"/>
    <w:rsid w:val="00117543"/>
    <w:rsid w:val="0016168A"/>
    <w:rsid w:val="001660E3"/>
    <w:rsid w:val="001C2C20"/>
    <w:rsid w:val="001F360C"/>
    <w:rsid w:val="00247EC4"/>
    <w:rsid w:val="00263F11"/>
    <w:rsid w:val="002733C7"/>
    <w:rsid w:val="002B6733"/>
    <w:rsid w:val="002F3977"/>
    <w:rsid w:val="00350E1D"/>
    <w:rsid w:val="00364EE7"/>
    <w:rsid w:val="0037399F"/>
    <w:rsid w:val="003D0047"/>
    <w:rsid w:val="003D0337"/>
    <w:rsid w:val="004179B5"/>
    <w:rsid w:val="0049231C"/>
    <w:rsid w:val="004C7737"/>
    <w:rsid w:val="004D608A"/>
    <w:rsid w:val="004F24D0"/>
    <w:rsid w:val="005502CA"/>
    <w:rsid w:val="00553BEF"/>
    <w:rsid w:val="00570762"/>
    <w:rsid w:val="00572E45"/>
    <w:rsid w:val="005741D3"/>
    <w:rsid w:val="00595446"/>
    <w:rsid w:val="00596C71"/>
    <w:rsid w:val="005A1C25"/>
    <w:rsid w:val="005B3D31"/>
    <w:rsid w:val="005C4E25"/>
    <w:rsid w:val="005D3239"/>
    <w:rsid w:val="005D45AE"/>
    <w:rsid w:val="005F59FD"/>
    <w:rsid w:val="00645703"/>
    <w:rsid w:val="006C4FBD"/>
    <w:rsid w:val="006C738C"/>
    <w:rsid w:val="007063F2"/>
    <w:rsid w:val="00722070"/>
    <w:rsid w:val="00722B55"/>
    <w:rsid w:val="00733D66"/>
    <w:rsid w:val="00735C11"/>
    <w:rsid w:val="0076666F"/>
    <w:rsid w:val="00780222"/>
    <w:rsid w:val="007D1C6F"/>
    <w:rsid w:val="008469F7"/>
    <w:rsid w:val="008714DD"/>
    <w:rsid w:val="00875898"/>
    <w:rsid w:val="008932DA"/>
    <w:rsid w:val="0089458C"/>
    <w:rsid w:val="00895134"/>
    <w:rsid w:val="008A421C"/>
    <w:rsid w:val="008D7EDC"/>
    <w:rsid w:val="008E4A6E"/>
    <w:rsid w:val="008E6B95"/>
    <w:rsid w:val="009013ED"/>
    <w:rsid w:val="0092385A"/>
    <w:rsid w:val="009245C0"/>
    <w:rsid w:val="009666BD"/>
    <w:rsid w:val="009D096A"/>
    <w:rsid w:val="009D45C7"/>
    <w:rsid w:val="00A012D2"/>
    <w:rsid w:val="00A02E73"/>
    <w:rsid w:val="00A140CD"/>
    <w:rsid w:val="00A1512E"/>
    <w:rsid w:val="00A35C83"/>
    <w:rsid w:val="00A77856"/>
    <w:rsid w:val="00A80A05"/>
    <w:rsid w:val="00A9009F"/>
    <w:rsid w:val="00AC19D1"/>
    <w:rsid w:val="00AF632D"/>
    <w:rsid w:val="00B11276"/>
    <w:rsid w:val="00B16E94"/>
    <w:rsid w:val="00B35268"/>
    <w:rsid w:val="00B64E7D"/>
    <w:rsid w:val="00B85035"/>
    <w:rsid w:val="00BD06BF"/>
    <w:rsid w:val="00BD79C2"/>
    <w:rsid w:val="00BF056A"/>
    <w:rsid w:val="00BF7DC1"/>
    <w:rsid w:val="00C07BD2"/>
    <w:rsid w:val="00C433ED"/>
    <w:rsid w:val="00C52F00"/>
    <w:rsid w:val="00C63AC1"/>
    <w:rsid w:val="00CA51A9"/>
    <w:rsid w:val="00CA5AA1"/>
    <w:rsid w:val="00CB7C87"/>
    <w:rsid w:val="00CD6647"/>
    <w:rsid w:val="00CF3BDA"/>
    <w:rsid w:val="00D07166"/>
    <w:rsid w:val="00D33C6A"/>
    <w:rsid w:val="00D65174"/>
    <w:rsid w:val="00D763F1"/>
    <w:rsid w:val="00DA05E1"/>
    <w:rsid w:val="00DB0F7C"/>
    <w:rsid w:val="00DD1417"/>
    <w:rsid w:val="00DD57C9"/>
    <w:rsid w:val="00DE5F55"/>
    <w:rsid w:val="00E12C68"/>
    <w:rsid w:val="00E32CCF"/>
    <w:rsid w:val="00E546E7"/>
    <w:rsid w:val="00E616DF"/>
    <w:rsid w:val="00E81E0C"/>
    <w:rsid w:val="00E91B72"/>
    <w:rsid w:val="00E97D00"/>
    <w:rsid w:val="00EB7D54"/>
    <w:rsid w:val="00ED4B4B"/>
    <w:rsid w:val="00ED701A"/>
    <w:rsid w:val="00F21052"/>
    <w:rsid w:val="00F6212F"/>
    <w:rsid w:val="00F66B10"/>
    <w:rsid w:val="00F90264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53B5B6-F572-4558-9635-F2438C36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link w:val="Heading3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Heading4Char">
    <w:name w:val="Heading 4 Char"/>
    <w:link w:val="Heading4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BodyTextChar">
    <w:name w:val="Body Text Char"/>
    <w:link w:val="BodyText"/>
    <w:rsid w:val="003D0337"/>
    <w:rPr>
      <w:rFonts w:ascii="Arial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Jonathan Tones</cp:lastModifiedBy>
  <cp:revision>2</cp:revision>
  <cp:lastPrinted>2009-11-09T11:31:00Z</cp:lastPrinted>
  <dcterms:created xsi:type="dcterms:W3CDTF">2017-01-03T15:27:00Z</dcterms:created>
  <dcterms:modified xsi:type="dcterms:W3CDTF">2017-01-03T15:27:00Z</dcterms:modified>
</cp:coreProperties>
</file>